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608" w:type="dxa"/>
        <w:tblInd w:w="562" w:type="dxa"/>
        <w:tblLook w:val="04A0" w:firstRow="1" w:lastRow="0" w:firstColumn="1" w:lastColumn="0" w:noHBand="0" w:noVBand="1"/>
      </w:tblPr>
      <w:tblGrid>
        <w:gridCol w:w="2127"/>
        <w:gridCol w:w="11481"/>
      </w:tblGrid>
      <w:tr w:rsidR="000F55DF" w:rsidRPr="003D4271" w:rsidTr="00FD35A7">
        <w:trPr>
          <w:trHeight w:val="767"/>
        </w:trPr>
        <w:tc>
          <w:tcPr>
            <w:tcW w:w="2127" w:type="dxa"/>
            <w:shd w:val="clear" w:color="auto" w:fill="000099"/>
            <w:vAlign w:val="center"/>
          </w:tcPr>
          <w:p w:rsidR="000F55DF" w:rsidRPr="003D4271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4271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B4159E">
              <w:rPr>
                <w:rFonts w:ascii="Arial" w:hAnsi="Arial" w:cs="Arial"/>
                <w:b/>
                <w:color w:val="FFFFFF" w:themeColor="background1"/>
                <w:shd w:val="clear" w:color="auto" w:fill="000099"/>
              </w:rPr>
              <w:t>OBJETIVO</w:t>
            </w:r>
          </w:p>
        </w:tc>
        <w:tc>
          <w:tcPr>
            <w:tcW w:w="11481" w:type="dxa"/>
          </w:tcPr>
          <w:p w:rsidR="000F55DF" w:rsidRPr="004477C6" w:rsidRDefault="004477C6" w:rsidP="004F7C1A">
            <w:pPr>
              <w:suppressAutoHyphens/>
              <w:jc w:val="both"/>
              <w:rPr>
                <w:rFonts w:ascii="Arial" w:hAnsi="Arial" w:cs="Arial"/>
                <w:szCs w:val="20"/>
              </w:rPr>
            </w:pPr>
            <w:r w:rsidRPr="004477C6">
              <w:rPr>
                <w:rFonts w:ascii="Arial" w:hAnsi="Arial" w:cs="Arial"/>
              </w:rPr>
              <w:t xml:space="preserve">Planear, ejecutar y hacer seguimiento a la ejecución presupuestal de los recursos apropiados a la </w:t>
            </w:r>
            <w:r w:rsidR="004F7C1A" w:rsidRPr="004477C6">
              <w:rPr>
                <w:rFonts w:ascii="Arial" w:hAnsi="Arial" w:cs="Arial"/>
              </w:rPr>
              <w:t>Contraloría</w:t>
            </w:r>
            <w:r w:rsidRPr="004477C6">
              <w:rPr>
                <w:rFonts w:ascii="Arial" w:hAnsi="Arial" w:cs="Arial"/>
              </w:rPr>
              <w:t xml:space="preserve"> </w:t>
            </w:r>
            <w:r w:rsidR="004F7C1A">
              <w:rPr>
                <w:rFonts w:ascii="Arial" w:hAnsi="Arial" w:cs="Arial"/>
              </w:rPr>
              <w:t>General del Departamento del Magdalena</w:t>
            </w:r>
            <w:r w:rsidR="00A33EED">
              <w:rPr>
                <w:rFonts w:ascii="Arial" w:hAnsi="Arial" w:cs="Arial"/>
              </w:rPr>
              <w:t>,</w:t>
            </w:r>
            <w:r w:rsidR="004F7C1A">
              <w:rPr>
                <w:rFonts w:ascii="Arial" w:hAnsi="Arial" w:cs="Arial"/>
              </w:rPr>
              <w:t xml:space="preserve"> </w:t>
            </w:r>
            <w:r w:rsidRPr="004477C6">
              <w:rPr>
                <w:rFonts w:ascii="Arial" w:hAnsi="Arial" w:cs="Arial"/>
              </w:rPr>
              <w:t xml:space="preserve"> de acuerdo con la normatividad vigente a través de herramientas e instrumentos con el fin de dar a conocer de manera oportuna y veraz, el nivel de ejecución para la toma de decisiones.</w:t>
            </w:r>
          </w:p>
        </w:tc>
      </w:tr>
      <w:tr w:rsidR="000F55DF" w:rsidRPr="003D4271" w:rsidTr="00FD35A7">
        <w:trPr>
          <w:trHeight w:val="767"/>
        </w:trPr>
        <w:tc>
          <w:tcPr>
            <w:tcW w:w="2127" w:type="dxa"/>
            <w:shd w:val="clear" w:color="auto" w:fill="000099"/>
            <w:vAlign w:val="center"/>
          </w:tcPr>
          <w:p w:rsidR="000F55DF" w:rsidRPr="00B4159E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RESPONSABLE</w:t>
            </w:r>
          </w:p>
        </w:tc>
        <w:tc>
          <w:tcPr>
            <w:tcW w:w="11481" w:type="dxa"/>
            <w:vAlign w:val="center"/>
          </w:tcPr>
          <w:p w:rsidR="000F55DF" w:rsidRPr="003D4271" w:rsidRDefault="000F55DF" w:rsidP="004F7C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</w:t>
            </w:r>
            <w:r w:rsidR="004F7C1A">
              <w:rPr>
                <w:rFonts w:ascii="Arial" w:hAnsi="Arial" w:cs="Arial"/>
              </w:rPr>
              <w:t>oficina financiera</w:t>
            </w:r>
          </w:p>
        </w:tc>
      </w:tr>
      <w:tr w:rsidR="000F55DF" w:rsidRPr="003D4271" w:rsidTr="00FD35A7">
        <w:trPr>
          <w:trHeight w:val="767"/>
        </w:trPr>
        <w:tc>
          <w:tcPr>
            <w:tcW w:w="2127" w:type="dxa"/>
            <w:shd w:val="clear" w:color="auto" w:fill="000099"/>
            <w:vAlign w:val="center"/>
          </w:tcPr>
          <w:p w:rsidR="000F55DF" w:rsidRPr="00B4159E" w:rsidRDefault="000F55DF" w:rsidP="000F55D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ALCANCE</w:t>
            </w:r>
          </w:p>
        </w:tc>
        <w:tc>
          <w:tcPr>
            <w:tcW w:w="11481" w:type="dxa"/>
          </w:tcPr>
          <w:p w:rsidR="000F55DF" w:rsidRPr="004F7C1A" w:rsidRDefault="004F7C1A" w:rsidP="00A33E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C1A">
              <w:rPr>
                <w:rFonts w:ascii="Arial" w:hAnsi="Arial" w:cs="Arial"/>
                <w:sz w:val="22"/>
                <w:szCs w:val="22"/>
              </w:rPr>
              <w:t xml:space="preserve">Inicia con la planeación del presupuesto de la Entidad hasta la toma de decisiones de la gestión financiera de la Contraloría </w:t>
            </w:r>
            <w:r>
              <w:rPr>
                <w:rFonts w:ascii="Arial" w:hAnsi="Arial" w:cs="Arial"/>
                <w:sz w:val="22"/>
                <w:szCs w:val="22"/>
              </w:rPr>
              <w:t>General del Departamento del Magdalena</w:t>
            </w:r>
            <w:r w:rsidR="00A33E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33EED" w:rsidRPr="004F7C1A">
              <w:rPr>
                <w:rFonts w:ascii="Arial" w:hAnsi="Arial" w:cs="Arial"/>
                <w:sz w:val="22"/>
                <w:szCs w:val="22"/>
              </w:rPr>
              <w:t>incluyendo</w:t>
            </w:r>
            <w:r w:rsidRPr="004F7C1A">
              <w:rPr>
                <w:rFonts w:ascii="Arial" w:hAnsi="Arial" w:cs="Arial"/>
                <w:sz w:val="22"/>
                <w:szCs w:val="22"/>
              </w:rPr>
              <w:t xml:space="preserve"> las actividades relacionadas con la ejecución y control del Presupuesto, Contabilidad y Tesorería y la adopción de acciones correctivas, preventivas y de mejora.</w:t>
            </w:r>
          </w:p>
        </w:tc>
      </w:tr>
    </w:tbl>
    <w:p w:rsidR="00602757" w:rsidRPr="003D4271" w:rsidRDefault="0060275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="562" w:tblpY="1"/>
        <w:tblOverlap w:val="never"/>
        <w:tblW w:w="4727" w:type="pct"/>
        <w:tblLayout w:type="fixed"/>
        <w:tblLook w:val="04A0" w:firstRow="1" w:lastRow="0" w:firstColumn="1" w:lastColumn="0" w:noHBand="0" w:noVBand="1"/>
      </w:tblPr>
      <w:tblGrid>
        <w:gridCol w:w="1840"/>
        <w:gridCol w:w="2560"/>
        <w:gridCol w:w="5240"/>
        <w:gridCol w:w="1981"/>
        <w:gridCol w:w="1983"/>
      </w:tblGrid>
      <w:tr w:rsidR="00A35DBD" w:rsidRPr="003D4271" w:rsidTr="00FD35A7">
        <w:trPr>
          <w:trHeight w:val="327"/>
        </w:trPr>
        <w:tc>
          <w:tcPr>
            <w:tcW w:w="676" w:type="pct"/>
            <w:shd w:val="clear" w:color="auto" w:fill="FF0000"/>
            <w:vAlign w:val="center"/>
          </w:tcPr>
          <w:p w:rsidR="009107E0" w:rsidRPr="00B4159E" w:rsidRDefault="009107E0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PROVEEDOR</w:t>
            </w:r>
          </w:p>
        </w:tc>
        <w:tc>
          <w:tcPr>
            <w:tcW w:w="941" w:type="pct"/>
            <w:shd w:val="clear" w:color="auto" w:fill="FF0000"/>
            <w:vAlign w:val="center"/>
          </w:tcPr>
          <w:p w:rsidR="009107E0" w:rsidRPr="00B4159E" w:rsidRDefault="009107E0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ENTRADA</w:t>
            </w:r>
          </w:p>
        </w:tc>
        <w:tc>
          <w:tcPr>
            <w:tcW w:w="1926" w:type="pct"/>
            <w:shd w:val="clear" w:color="auto" w:fill="FF0000"/>
            <w:vAlign w:val="center"/>
          </w:tcPr>
          <w:p w:rsidR="009107E0" w:rsidRPr="00B4159E" w:rsidRDefault="009107E0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728" w:type="pct"/>
            <w:shd w:val="clear" w:color="auto" w:fill="FF0000"/>
            <w:vAlign w:val="center"/>
          </w:tcPr>
          <w:p w:rsidR="009107E0" w:rsidRPr="00B4159E" w:rsidRDefault="009107E0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SALIDAS</w:t>
            </w:r>
          </w:p>
        </w:tc>
        <w:tc>
          <w:tcPr>
            <w:tcW w:w="729" w:type="pct"/>
            <w:shd w:val="clear" w:color="auto" w:fill="FF0000"/>
            <w:vAlign w:val="center"/>
          </w:tcPr>
          <w:p w:rsidR="009107E0" w:rsidRPr="00B4159E" w:rsidRDefault="009107E0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159E">
              <w:rPr>
                <w:rFonts w:ascii="Arial" w:hAnsi="Arial" w:cs="Arial"/>
                <w:b/>
                <w:color w:val="FFFFFF" w:themeColor="background1"/>
              </w:rPr>
              <w:t>CLIENTES</w:t>
            </w:r>
          </w:p>
        </w:tc>
      </w:tr>
      <w:tr w:rsidR="009107E0" w:rsidRPr="003D4271" w:rsidTr="00FD35A7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9107E0" w:rsidRPr="00A33EED" w:rsidRDefault="009107E0" w:rsidP="00FD35A7">
            <w:pPr>
              <w:jc w:val="center"/>
              <w:rPr>
                <w:rFonts w:ascii="Arial" w:hAnsi="Arial" w:cs="Arial"/>
                <w:b/>
              </w:rPr>
            </w:pPr>
            <w:r w:rsidRPr="00A33EED">
              <w:rPr>
                <w:rFonts w:ascii="Arial" w:hAnsi="Arial" w:cs="Arial"/>
                <w:b/>
              </w:rPr>
              <w:t>PLANEAR</w:t>
            </w:r>
          </w:p>
        </w:tc>
      </w:tr>
      <w:tr w:rsidR="00A35DBD" w:rsidRPr="003D4271" w:rsidTr="00FD35A7">
        <w:trPr>
          <w:trHeight w:val="574"/>
        </w:trPr>
        <w:tc>
          <w:tcPr>
            <w:tcW w:w="676" w:type="pct"/>
            <w:vAlign w:val="center"/>
          </w:tcPr>
          <w:p w:rsidR="00BA248C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Direccionamiento estratégico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gestión financiera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gestión contractual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talento humano</w:t>
            </w:r>
          </w:p>
          <w:p w:rsidR="004F7C1A" w:rsidRPr="00C63E36" w:rsidRDefault="004F7C1A" w:rsidP="00FD3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pct"/>
            <w:vAlign w:val="center"/>
          </w:tcPr>
          <w:p w:rsidR="004F7C1A" w:rsidRDefault="00D86D4C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</w:t>
            </w:r>
            <w:r w:rsidR="004F7C1A">
              <w:rPr>
                <w:rFonts w:ascii="Arial" w:hAnsi="Arial" w:cs="Arial"/>
              </w:rPr>
              <w:t>eación estratégica, lineamientos de la alta dirección</w:t>
            </w: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 y directrices de contratación</w:t>
            </w: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Provisión de recursos físicos</w:t>
            </w: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86D4C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anterior</w:t>
            </w:r>
          </w:p>
          <w:p w:rsidR="004F7C1A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F7C1A" w:rsidRPr="00C63E36" w:rsidRDefault="004F7C1A" w:rsidP="00FD3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Gastos planta de personal</w:t>
            </w:r>
          </w:p>
        </w:tc>
        <w:tc>
          <w:tcPr>
            <w:tcW w:w="1926" w:type="pct"/>
            <w:vAlign w:val="center"/>
          </w:tcPr>
          <w:p w:rsidR="00A974F4" w:rsidRDefault="005A3688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</w:t>
            </w:r>
            <w:r w:rsidR="004F7C1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los lineamientos para la planeación estratégica del proceso y la administración del riesgo institucional y de corrupción.</w:t>
            </w:r>
          </w:p>
          <w:p w:rsidR="005A3688" w:rsidRDefault="005A3688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5A3688" w:rsidRDefault="005A3688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las necesidades de recursos físicos, humanos y tecnológicos.</w:t>
            </w:r>
          </w:p>
          <w:p w:rsidR="000121FB" w:rsidRDefault="000121FB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necesidades de recursos</w:t>
            </w:r>
            <w:r w:rsidR="00A33EED">
              <w:rPr>
                <w:rFonts w:ascii="Arial" w:hAnsi="Arial" w:cs="Arial"/>
              </w:rPr>
              <w:t xml:space="preserve"> técnicos, humanos, financieros, tecnológicos y administrativos.</w:t>
            </w: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Proyectar los gastos generales de la entidad durante la vigencia</w:t>
            </w: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 el gasto público durante la vigencia</w:t>
            </w:r>
          </w:p>
          <w:p w:rsidR="004F7C1A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  <w:p w:rsidR="009D502C" w:rsidRDefault="004F7C1A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Programar el Plan Anual de Caja</w:t>
            </w:r>
          </w:p>
          <w:p w:rsidR="005A3688" w:rsidRPr="009811CF" w:rsidRDefault="005A3688" w:rsidP="00FD35A7">
            <w:pPr>
              <w:tabs>
                <w:tab w:val="left" w:pos="101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0121FB" w:rsidRDefault="000121F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Lineamientos estratégicos y de administración del riesgo del proceso</w:t>
            </w:r>
          </w:p>
          <w:p w:rsidR="000121FB" w:rsidRDefault="000121FB" w:rsidP="00FD35A7">
            <w:pPr>
              <w:jc w:val="center"/>
              <w:rPr>
                <w:rFonts w:ascii="Arial" w:hAnsi="Arial" w:cs="Arial"/>
              </w:rPr>
            </w:pPr>
          </w:p>
          <w:p w:rsidR="000121FB" w:rsidRDefault="000121F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Necesidades de recursos del proceso</w:t>
            </w:r>
          </w:p>
          <w:p w:rsidR="000121FB" w:rsidRDefault="000121FB" w:rsidP="00FD35A7">
            <w:pPr>
              <w:jc w:val="center"/>
              <w:rPr>
                <w:rFonts w:ascii="Arial" w:hAnsi="Arial" w:cs="Arial"/>
              </w:rPr>
            </w:pPr>
          </w:p>
          <w:p w:rsidR="000121FB" w:rsidRPr="00C63E36" w:rsidRDefault="000121FB" w:rsidP="00FD3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:rsidR="003A4642" w:rsidRDefault="000121FB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Dirección</w:t>
            </w:r>
          </w:p>
          <w:p w:rsidR="000121FB" w:rsidRDefault="000121FB" w:rsidP="00FD35A7">
            <w:pPr>
              <w:rPr>
                <w:rFonts w:ascii="Arial" w:hAnsi="Arial" w:cs="Arial"/>
              </w:rPr>
            </w:pPr>
          </w:p>
          <w:p w:rsidR="000121FB" w:rsidRDefault="009D502C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Contratación</w:t>
            </w:r>
          </w:p>
          <w:p w:rsidR="009D502C" w:rsidRDefault="009D502C" w:rsidP="00FD35A7">
            <w:pPr>
              <w:rPr>
                <w:rFonts w:ascii="Arial" w:hAnsi="Arial" w:cs="Arial"/>
              </w:rPr>
            </w:pPr>
          </w:p>
          <w:p w:rsidR="009D502C" w:rsidRDefault="009D502C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 de la entidad</w:t>
            </w:r>
          </w:p>
          <w:p w:rsidR="000121FB" w:rsidRDefault="000121FB" w:rsidP="00FD35A7">
            <w:pPr>
              <w:rPr>
                <w:rFonts w:ascii="Arial" w:hAnsi="Arial" w:cs="Arial"/>
              </w:rPr>
            </w:pPr>
          </w:p>
          <w:p w:rsidR="000121FB" w:rsidRDefault="009D502C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Proveedores</w:t>
            </w:r>
          </w:p>
          <w:p w:rsidR="009D502C" w:rsidRDefault="009D502C" w:rsidP="00FD35A7">
            <w:pPr>
              <w:rPr>
                <w:rFonts w:ascii="Arial" w:hAnsi="Arial" w:cs="Arial"/>
              </w:rPr>
            </w:pPr>
          </w:p>
          <w:p w:rsidR="009D502C" w:rsidRPr="00C63E36" w:rsidRDefault="009D502C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contratistas</w:t>
            </w:r>
          </w:p>
        </w:tc>
      </w:tr>
      <w:tr w:rsidR="00D07E44" w:rsidRPr="003D4271" w:rsidTr="00FD35A7">
        <w:trPr>
          <w:trHeight w:val="213"/>
        </w:trPr>
        <w:tc>
          <w:tcPr>
            <w:tcW w:w="5000" w:type="pct"/>
            <w:gridSpan w:val="5"/>
            <w:shd w:val="clear" w:color="auto" w:fill="000099"/>
          </w:tcPr>
          <w:p w:rsidR="00D07E44" w:rsidRPr="00A33EED" w:rsidRDefault="00D07E44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3EED">
              <w:rPr>
                <w:rFonts w:ascii="Arial" w:hAnsi="Arial" w:cs="Arial"/>
                <w:b/>
                <w:color w:val="FFFFFF" w:themeColor="background1"/>
              </w:rPr>
              <w:t>HACER</w:t>
            </w:r>
          </w:p>
        </w:tc>
      </w:tr>
      <w:tr w:rsidR="00BA248C" w:rsidRPr="003D4271" w:rsidTr="00FD35A7">
        <w:trPr>
          <w:trHeight w:val="372"/>
        </w:trPr>
        <w:tc>
          <w:tcPr>
            <w:tcW w:w="676" w:type="pct"/>
          </w:tcPr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Direccionamiento estratégico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gestión financiera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gestión contractual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talento humano</w:t>
            </w:r>
          </w:p>
          <w:p w:rsidR="00BA248C" w:rsidRDefault="00BA248C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administrativa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Fiscal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Pr="00B6624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  <w:tc>
          <w:tcPr>
            <w:tcW w:w="941" w:type="pct"/>
          </w:tcPr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BA248C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Proyectos de inversión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Proyección de gastos generales</w:t>
            </w: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center"/>
              <w:rPr>
                <w:rFonts w:ascii="Arial" w:hAnsi="Arial" w:cs="Arial"/>
              </w:rPr>
            </w:pPr>
          </w:p>
          <w:p w:rsidR="004F7C1A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Proyección de los costos de nomina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Normas de presupuesto, contabilidad y tesorería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Contratos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Órdenes de pago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 w:rsidRPr="00BA51A6">
              <w:rPr>
                <w:rFonts w:ascii="Arial" w:hAnsi="Arial" w:cs="Arial"/>
              </w:rPr>
              <w:t>Servicios Públicos, Administración y otros</w:t>
            </w:r>
            <w:r>
              <w:t>.</w:t>
            </w:r>
          </w:p>
          <w:p w:rsidR="004F7C1A" w:rsidRPr="00C63E36" w:rsidRDefault="004F7C1A" w:rsidP="00FD3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pct"/>
          </w:tcPr>
          <w:p w:rsidR="00BA248C" w:rsidRDefault="00BA248C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el Plan de Acción</w:t>
            </w:r>
          </w:p>
          <w:p w:rsidR="00BA248C" w:rsidRDefault="00BA248C" w:rsidP="00FD35A7">
            <w:pPr>
              <w:jc w:val="both"/>
              <w:rPr>
                <w:rFonts w:ascii="Arial" w:hAnsi="Arial" w:cs="Arial"/>
              </w:rPr>
            </w:pPr>
          </w:p>
          <w:p w:rsidR="00BA248C" w:rsidRDefault="00BA248C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el mapa de riesgos institucional y de corrupción</w:t>
            </w:r>
          </w:p>
          <w:p w:rsidR="00BA248C" w:rsidRDefault="00BA248C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el presupuesto</w:t>
            </w:r>
            <w:r w:rsidR="00A33EED">
              <w:rPr>
                <w:rFonts w:ascii="Arial" w:hAnsi="Arial" w:cs="Arial"/>
              </w:rPr>
              <w:t xml:space="preserve"> anual de la entidad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Asignar el PAC mensualizado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Certificados de Disponibilidad Presupuestal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y contabilizar registro presupuestal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BA248C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Ejecutar los pagos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Controlar la ejecución presupuestal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las modificaciones presupuestales</w:t>
            </w: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</w:p>
          <w:p w:rsidR="004F7C1A" w:rsidRDefault="004F7C1A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operaciones contables</w:t>
            </w:r>
          </w:p>
          <w:p w:rsidR="00A33EED" w:rsidRDefault="00A33EED" w:rsidP="00FD35A7">
            <w:pPr>
              <w:jc w:val="both"/>
              <w:rPr>
                <w:rFonts w:ascii="Arial" w:hAnsi="Arial" w:cs="Arial"/>
              </w:rPr>
            </w:pPr>
          </w:p>
          <w:p w:rsidR="00A33EED" w:rsidRDefault="00A33EED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 elaboración de los estados contables.</w:t>
            </w:r>
          </w:p>
          <w:p w:rsidR="00BA248C" w:rsidRPr="00B66246" w:rsidRDefault="00BA248C" w:rsidP="00FD35A7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BA248C" w:rsidRDefault="00BA51A6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acción</w:t>
            </w:r>
          </w:p>
          <w:p w:rsidR="00BA51A6" w:rsidRDefault="00BA51A6" w:rsidP="00FD35A7">
            <w:pPr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de riesgos institucional y de corrupción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Certificados de Disponibilidad Presupuestal CDP</w:t>
            </w:r>
          </w:p>
          <w:p w:rsidR="00BA51A6" w:rsidRDefault="00BA51A6" w:rsidP="00FD35A7">
            <w:pPr>
              <w:jc w:val="center"/>
              <w:rPr>
                <w:rFonts w:ascii="Arial" w:hAnsi="Arial" w:cs="Arial"/>
              </w:rPr>
            </w:pPr>
          </w:p>
          <w:p w:rsidR="00BA51A6" w:rsidRDefault="00FB3653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 presupuestales</w:t>
            </w:r>
          </w:p>
          <w:p w:rsidR="00FB3653" w:rsidRDefault="00FB3653" w:rsidP="00FD35A7">
            <w:pPr>
              <w:jc w:val="center"/>
              <w:rPr>
                <w:rFonts w:ascii="Arial" w:hAnsi="Arial" w:cs="Arial"/>
              </w:rPr>
            </w:pPr>
          </w:p>
          <w:p w:rsidR="00FB3653" w:rsidRDefault="00FB3653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Pagos efectuados</w:t>
            </w:r>
          </w:p>
          <w:p w:rsidR="00FB3653" w:rsidRDefault="00FB3653" w:rsidP="00FD35A7">
            <w:pPr>
              <w:jc w:val="center"/>
              <w:rPr>
                <w:rFonts w:ascii="Arial" w:hAnsi="Arial" w:cs="Arial"/>
              </w:rPr>
            </w:pPr>
          </w:p>
          <w:p w:rsidR="00FB3653" w:rsidRDefault="00FB3653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Ejecuciones presupuestales</w:t>
            </w:r>
          </w:p>
          <w:p w:rsidR="00FB3653" w:rsidRDefault="00FB3653" w:rsidP="00FD35A7">
            <w:pPr>
              <w:jc w:val="center"/>
              <w:rPr>
                <w:rFonts w:ascii="Arial" w:hAnsi="Arial" w:cs="Arial"/>
              </w:rPr>
            </w:pPr>
          </w:p>
          <w:p w:rsidR="00FB3653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Resoluciones de modificaciones del presupuesto.</w:t>
            </w: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</w:p>
          <w:p w:rsidR="00FB3653" w:rsidRPr="00B66246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contables</w:t>
            </w:r>
          </w:p>
        </w:tc>
        <w:tc>
          <w:tcPr>
            <w:tcW w:w="729" w:type="pct"/>
          </w:tcPr>
          <w:p w:rsidR="00BA248C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Gestión Financiera</w:t>
            </w: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Dirección</w:t>
            </w: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Asamblea Departamental del Magdalena</w:t>
            </w: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  <w:p w:rsidR="008805C1" w:rsidRDefault="008805C1" w:rsidP="00FD35A7">
            <w:pPr>
              <w:jc w:val="center"/>
              <w:rPr>
                <w:rFonts w:ascii="Arial" w:hAnsi="Arial" w:cs="Arial"/>
              </w:rPr>
            </w:pPr>
          </w:p>
          <w:p w:rsidR="008805C1" w:rsidRPr="00B66246" w:rsidRDefault="008805C1" w:rsidP="00FD35A7">
            <w:pPr>
              <w:jc w:val="center"/>
              <w:rPr>
                <w:rFonts w:ascii="Arial" w:hAnsi="Arial" w:cs="Arial"/>
              </w:rPr>
            </w:pPr>
          </w:p>
        </w:tc>
      </w:tr>
      <w:tr w:rsidR="00BA248C" w:rsidRPr="003D4271" w:rsidTr="00FD35A7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BA248C" w:rsidRPr="00A33EED" w:rsidRDefault="00BA248C" w:rsidP="00FD35A7">
            <w:pPr>
              <w:jc w:val="center"/>
              <w:rPr>
                <w:rFonts w:ascii="Arial" w:hAnsi="Arial" w:cs="Arial"/>
                <w:b/>
              </w:rPr>
            </w:pPr>
            <w:r w:rsidRPr="00A33EED">
              <w:rPr>
                <w:rFonts w:ascii="Arial" w:hAnsi="Arial" w:cs="Arial"/>
                <w:b/>
                <w:color w:val="FFFFFF" w:themeColor="background1"/>
              </w:rPr>
              <w:t>VERIFICAR</w:t>
            </w:r>
          </w:p>
        </w:tc>
      </w:tr>
      <w:tr w:rsidR="00B9277B" w:rsidRPr="003D4271" w:rsidTr="00FD35A7">
        <w:trPr>
          <w:trHeight w:val="305"/>
        </w:trPr>
        <w:tc>
          <w:tcPr>
            <w:tcW w:w="676" w:type="pct"/>
            <w:vAlign w:val="center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Gestión Financiera</w:t>
            </w:r>
          </w:p>
          <w:p w:rsidR="00A33EED" w:rsidRDefault="00A33EED" w:rsidP="00FD35A7">
            <w:pPr>
              <w:jc w:val="center"/>
              <w:rPr>
                <w:rFonts w:ascii="Arial" w:hAnsi="Arial" w:cs="Arial"/>
              </w:rPr>
            </w:pPr>
          </w:p>
          <w:p w:rsidR="00A33EED" w:rsidRDefault="00A33EED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control interno</w:t>
            </w:r>
          </w:p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B9277B" w:rsidRPr="00E6036C" w:rsidRDefault="00B9277B" w:rsidP="00FD35A7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acción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de riesgos institucional y de corrupción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A33EED" w:rsidRDefault="00A33EED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visitas internas.</w:t>
            </w:r>
          </w:p>
          <w:p w:rsidR="00A33EED" w:rsidRDefault="00A33EED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Certificados de Disponibilidad Presupuestal CDP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 presupuestales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Pagos efectuados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Ejecuciones presupuestales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Resoluciones de modificaciones del presupuesto.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Pr="00B66246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contables</w:t>
            </w:r>
          </w:p>
        </w:tc>
        <w:tc>
          <w:tcPr>
            <w:tcW w:w="1926" w:type="pct"/>
          </w:tcPr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Efectuar seguimiento al Plan de Acción.</w:t>
            </w: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seguimiento a </w:t>
            </w:r>
            <w:r w:rsidR="003629CC">
              <w:rPr>
                <w:rFonts w:ascii="Arial" w:hAnsi="Arial" w:cs="Arial"/>
              </w:rPr>
              <w:t>la ejecución del presupuesto y pagos efectuados.</w:t>
            </w: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revisión general control de calidad a procesos </w:t>
            </w:r>
            <w:r w:rsidR="004E7199">
              <w:rPr>
                <w:rFonts w:ascii="Arial" w:hAnsi="Arial" w:cs="Arial"/>
              </w:rPr>
              <w:t>de gestión financiera</w:t>
            </w:r>
            <w:r>
              <w:rPr>
                <w:rFonts w:ascii="Arial" w:hAnsi="Arial" w:cs="Arial"/>
              </w:rPr>
              <w:t xml:space="preserve"> y sus soportes.</w:t>
            </w: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CE7697" w:rsidRDefault="00CE7697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Monitorear los indicadores del proceso </w:t>
            </w: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 w:rsidRPr="00FC52F1">
              <w:rPr>
                <w:rFonts w:ascii="Arial" w:hAnsi="Arial" w:cs="Arial"/>
              </w:rPr>
              <w:t>Hacer seguimiento a los riesgos institucionales</w:t>
            </w:r>
            <w:r>
              <w:rPr>
                <w:rFonts w:ascii="Arial" w:hAnsi="Arial" w:cs="Arial"/>
              </w:rPr>
              <w:t xml:space="preserve"> y de anticorrupción.</w:t>
            </w:r>
          </w:p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A33EED" w:rsidRDefault="00A33EED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Monitorear la ejecución presupuestal y el PAC </w:t>
            </w:r>
          </w:p>
          <w:p w:rsidR="00A33EED" w:rsidRDefault="00A33EED" w:rsidP="00FD35A7">
            <w:pPr>
              <w:rPr>
                <w:rFonts w:ascii="Arial" w:hAnsi="Arial" w:cs="Arial"/>
              </w:rPr>
            </w:pPr>
          </w:p>
          <w:p w:rsidR="00A33EED" w:rsidRDefault="00A33EED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el uso o afectación adecuada de las asignaciones presupuestales.</w:t>
            </w:r>
          </w:p>
          <w:p w:rsidR="00A33EED" w:rsidRDefault="00A33EED" w:rsidP="00FD35A7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B9277B" w:rsidRDefault="00B9277B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Planes de Mejoramiento</w:t>
            </w:r>
          </w:p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B9277B" w:rsidRDefault="00B9277B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los planes de acción</w:t>
            </w:r>
          </w:p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B9277B" w:rsidRDefault="00B9277B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los mapas de riesgos</w:t>
            </w:r>
          </w:p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la gestión financiera</w:t>
            </w:r>
          </w:p>
        </w:tc>
        <w:tc>
          <w:tcPr>
            <w:tcW w:w="729" w:type="pct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Alta Dirección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Órganos de control y vigilancia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Grupos de interés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  <w:p w:rsidR="00B9277B" w:rsidRPr="003D4271" w:rsidRDefault="00B9277B" w:rsidP="00FD35A7">
            <w:pPr>
              <w:jc w:val="center"/>
              <w:rPr>
                <w:rFonts w:ascii="Arial" w:hAnsi="Arial" w:cs="Arial"/>
              </w:rPr>
            </w:pPr>
          </w:p>
        </w:tc>
      </w:tr>
      <w:tr w:rsidR="00B9277B" w:rsidRPr="003D4271" w:rsidTr="00FD35A7">
        <w:trPr>
          <w:trHeight w:val="305"/>
        </w:trPr>
        <w:tc>
          <w:tcPr>
            <w:tcW w:w="5000" w:type="pct"/>
            <w:gridSpan w:val="5"/>
            <w:shd w:val="clear" w:color="auto" w:fill="000099"/>
            <w:vAlign w:val="center"/>
          </w:tcPr>
          <w:p w:rsidR="00B9277B" w:rsidRPr="00A33EED" w:rsidRDefault="00B9277B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3EED">
              <w:rPr>
                <w:rFonts w:ascii="Arial" w:hAnsi="Arial" w:cs="Arial"/>
                <w:b/>
                <w:color w:val="FFFFFF" w:themeColor="background1"/>
              </w:rPr>
              <w:lastRenderedPageBreak/>
              <w:t>ACTUAR</w:t>
            </w:r>
          </w:p>
        </w:tc>
      </w:tr>
      <w:tr w:rsidR="00B9277B" w:rsidRPr="003D4271" w:rsidTr="00FD35A7">
        <w:trPr>
          <w:trHeight w:val="305"/>
        </w:trPr>
        <w:tc>
          <w:tcPr>
            <w:tcW w:w="676" w:type="pct"/>
            <w:vAlign w:val="center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</w:t>
            </w:r>
            <w:r w:rsidR="004E7199">
              <w:rPr>
                <w:rFonts w:ascii="Arial" w:hAnsi="Arial" w:cs="Arial"/>
              </w:rPr>
              <w:t>Gestión Financiera</w:t>
            </w:r>
          </w:p>
          <w:p w:rsidR="00B9277B" w:rsidRPr="001515B6" w:rsidRDefault="00B9277B" w:rsidP="00FD3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seguimiento al Plan de Acción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 w:rsidRPr="00933C8E">
              <w:rPr>
                <w:rFonts w:ascii="Arial" w:hAnsi="Arial" w:cs="Arial"/>
              </w:rPr>
              <w:t>Informes plan de acción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 w:rsidRPr="00FC52F1">
              <w:rPr>
                <w:rFonts w:ascii="Arial" w:hAnsi="Arial" w:cs="Arial"/>
              </w:rPr>
              <w:t>Informes de seguimiento a los riesgos institucional y de corrupción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</w:t>
            </w:r>
          </w:p>
        </w:tc>
        <w:tc>
          <w:tcPr>
            <w:tcW w:w="1926" w:type="pct"/>
            <w:vAlign w:val="center"/>
          </w:tcPr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Detectar oportunidades de mejoramiento institucional.</w:t>
            </w: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Implementar correcciones, acciones correctivas, preventivas y de mejora según los resultados obtenidos en la verificación.</w:t>
            </w: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A33EED" w:rsidRDefault="00A33EED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recomendaciones y advertencias para garantizar la ejecución oportuna, eficaz y adecuada de los ingresos y gastos de la entidad.</w:t>
            </w:r>
          </w:p>
          <w:p w:rsidR="00A33EED" w:rsidRDefault="00A33EED" w:rsidP="00FD35A7">
            <w:pPr>
              <w:jc w:val="both"/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Recomendar mejoras sobre el desempeño de los procesos.</w:t>
            </w: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jc w:val="both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lastRenderedPageBreak/>
              <w:t>Realizar el Re-direccionamiento de la gestión según resultados y verificación</w:t>
            </w:r>
          </w:p>
        </w:tc>
        <w:tc>
          <w:tcPr>
            <w:tcW w:w="728" w:type="pct"/>
            <w:vAlign w:val="center"/>
          </w:tcPr>
          <w:p w:rsidR="00B9277B" w:rsidRPr="001515B6" w:rsidRDefault="00B9277B" w:rsidP="00FD35A7">
            <w:pPr>
              <w:jc w:val="center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lastRenderedPageBreak/>
              <w:t>Acciones de Mejoramiento</w:t>
            </w:r>
          </w:p>
          <w:p w:rsidR="00B9277B" w:rsidRPr="001515B6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Pr="001515B6" w:rsidRDefault="00B9277B" w:rsidP="00FD35A7">
            <w:pPr>
              <w:jc w:val="center"/>
              <w:rPr>
                <w:rFonts w:ascii="Arial" w:hAnsi="Arial" w:cs="Arial"/>
              </w:rPr>
            </w:pPr>
            <w:r w:rsidRPr="001515B6">
              <w:rPr>
                <w:rFonts w:ascii="Arial" w:hAnsi="Arial" w:cs="Arial"/>
              </w:rPr>
              <w:t>Acciones Correctivas y preventivas</w:t>
            </w:r>
          </w:p>
        </w:tc>
        <w:tc>
          <w:tcPr>
            <w:tcW w:w="729" w:type="pct"/>
            <w:vAlign w:val="center"/>
          </w:tcPr>
          <w:p w:rsidR="00B9277B" w:rsidRDefault="00B9277B" w:rsidP="00FD35A7">
            <w:pPr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 Dirección 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</w:p>
          <w:p w:rsidR="00B9277B" w:rsidRPr="003D4271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Entes de Control Y vigilancia </w:t>
            </w:r>
          </w:p>
        </w:tc>
      </w:tr>
      <w:tr w:rsidR="00B9277B" w:rsidRPr="003D4271" w:rsidTr="00FD35A7">
        <w:trPr>
          <w:trHeight w:val="442"/>
        </w:trPr>
        <w:tc>
          <w:tcPr>
            <w:tcW w:w="1617" w:type="pct"/>
            <w:gridSpan w:val="2"/>
            <w:shd w:val="clear" w:color="auto" w:fill="FF0000"/>
            <w:vAlign w:val="center"/>
          </w:tcPr>
          <w:p w:rsidR="00B9277B" w:rsidRPr="001C6299" w:rsidRDefault="00B9277B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lastRenderedPageBreak/>
              <w:t>PROCEDIMIENTOS</w:t>
            </w:r>
          </w:p>
        </w:tc>
        <w:tc>
          <w:tcPr>
            <w:tcW w:w="3383" w:type="pct"/>
            <w:gridSpan w:val="3"/>
            <w:shd w:val="clear" w:color="auto" w:fill="FF0000"/>
            <w:vAlign w:val="center"/>
          </w:tcPr>
          <w:p w:rsidR="00B9277B" w:rsidRPr="001C6299" w:rsidRDefault="00B9277B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CONTROL Y SEGUIMIENTO</w:t>
            </w:r>
          </w:p>
        </w:tc>
      </w:tr>
      <w:tr w:rsidR="00B9277B" w:rsidRPr="003D4271" w:rsidTr="00FD35A7">
        <w:trPr>
          <w:trHeight w:val="620"/>
        </w:trPr>
        <w:tc>
          <w:tcPr>
            <w:tcW w:w="1617" w:type="pct"/>
            <w:gridSpan w:val="2"/>
            <w:vAlign w:val="center"/>
          </w:tcPr>
          <w:p w:rsidR="00B9277B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PRGF-01 Apertura del presupuesto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PRGF-02 Adiciones presupuestales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3 Cierre de presupuesto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4 Giro de ingresos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5 Giro de gastos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6 Orden de pagos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7 Certificado de disponibilidad P.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8 Registro presupuestal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PRGF-0</w:t>
            </w:r>
            <w:r>
              <w:rPr>
                <w:rFonts w:ascii="Arial" w:hAnsi="Arial" w:cs="Arial"/>
              </w:rPr>
              <w:t>9 Traslados presupuestales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10 Traslado automático del PAC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11 Declaración exógena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Retefuente</w:t>
            </w:r>
            <w:proofErr w:type="spellEnd"/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 xml:space="preserve">13 </w:t>
            </w:r>
            <w:r w:rsidR="00893DA0">
              <w:rPr>
                <w:rFonts w:ascii="Arial" w:hAnsi="Arial" w:cs="Arial"/>
              </w:rPr>
              <w:t xml:space="preserve">Estados financieros 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14</w:t>
            </w:r>
            <w:r w:rsidR="00893DA0">
              <w:rPr>
                <w:rFonts w:ascii="Arial" w:hAnsi="Arial" w:cs="Arial"/>
              </w:rPr>
              <w:t xml:space="preserve"> Causación contable de gastos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15</w:t>
            </w:r>
            <w:r w:rsidR="00893DA0">
              <w:rPr>
                <w:rFonts w:ascii="Arial" w:hAnsi="Arial" w:cs="Arial"/>
              </w:rPr>
              <w:t xml:space="preserve"> Causación contable de ingresos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16</w:t>
            </w:r>
            <w:r w:rsidR="00893DA0">
              <w:rPr>
                <w:rFonts w:ascii="Arial" w:hAnsi="Arial" w:cs="Arial"/>
              </w:rPr>
              <w:t xml:space="preserve"> Conciliación bancaria</w:t>
            </w:r>
          </w:p>
          <w:p w:rsidR="00FD35A7" w:rsidRDefault="00FD35A7" w:rsidP="00893DA0">
            <w:pPr>
              <w:ind w:left="1021" w:hanging="10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17</w:t>
            </w:r>
            <w:r w:rsidR="00893DA0">
              <w:rPr>
                <w:rFonts w:ascii="Arial" w:hAnsi="Arial" w:cs="Arial"/>
              </w:rPr>
              <w:t xml:space="preserve"> Registro contable procesos judiciales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18</w:t>
            </w:r>
            <w:r w:rsidR="00893DA0">
              <w:rPr>
                <w:rFonts w:ascii="Arial" w:hAnsi="Arial" w:cs="Arial"/>
              </w:rPr>
              <w:t xml:space="preserve"> Recaudo ingresos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19</w:t>
            </w:r>
            <w:r w:rsidR="00893DA0">
              <w:rPr>
                <w:rFonts w:ascii="Arial" w:hAnsi="Arial" w:cs="Arial"/>
              </w:rPr>
              <w:t xml:space="preserve"> Pago a proveedores</w:t>
            </w:r>
          </w:p>
          <w:p w:rsidR="00FD35A7" w:rsidRPr="00893DA0" w:rsidRDefault="00FD35A7" w:rsidP="00FD35A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20</w:t>
            </w:r>
            <w:r w:rsidR="00893DA0">
              <w:rPr>
                <w:rFonts w:ascii="Arial" w:hAnsi="Arial" w:cs="Arial"/>
              </w:rPr>
              <w:t xml:space="preserve"> </w:t>
            </w:r>
            <w:r w:rsidR="00893DA0" w:rsidRPr="00893DA0">
              <w:rPr>
                <w:rFonts w:ascii="Arial" w:hAnsi="Arial" w:cs="Arial"/>
              </w:rPr>
              <w:t>Pago de retenciones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21</w:t>
            </w:r>
            <w:r w:rsidR="00893DA0">
              <w:rPr>
                <w:rFonts w:ascii="Arial" w:hAnsi="Arial" w:cs="Arial"/>
              </w:rPr>
              <w:t xml:space="preserve"> </w:t>
            </w:r>
            <w:r w:rsidR="00893DA0">
              <w:rPr>
                <w:rFonts w:ascii="Arial" w:hAnsi="Arial" w:cs="Arial"/>
              </w:rPr>
              <w:t>Legalización de viáticos</w:t>
            </w:r>
            <w:r w:rsidR="00893DA0">
              <w:rPr>
                <w:rFonts w:ascii="Arial" w:hAnsi="Arial" w:cs="Arial"/>
              </w:rPr>
              <w:t xml:space="preserve"> </w:t>
            </w:r>
          </w:p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PRGF-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="00893DA0">
              <w:rPr>
                <w:rFonts w:ascii="Arial" w:hAnsi="Arial" w:cs="Arial"/>
              </w:rPr>
              <w:t xml:space="preserve"> </w:t>
            </w:r>
            <w:r w:rsidR="00893DA0">
              <w:rPr>
                <w:rFonts w:ascii="Arial" w:hAnsi="Arial" w:cs="Arial"/>
              </w:rPr>
              <w:t>Cuota de fiscalización</w:t>
            </w:r>
          </w:p>
          <w:p w:rsidR="00FD35A7" w:rsidRPr="003D4271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3383" w:type="pct"/>
            <w:gridSpan w:val="3"/>
          </w:tcPr>
          <w:p w:rsidR="00B9277B" w:rsidRPr="003D4271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indicadores y metas del Proceso, planes, proyectos y programas.</w:t>
            </w:r>
          </w:p>
          <w:p w:rsidR="00B9277B" w:rsidRPr="003D4271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 w:rsidRPr="003D4271">
              <w:rPr>
                <w:rFonts w:ascii="Arial" w:hAnsi="Arial" w:cs="Arial"/>
              </w:rPr>
              <w:t>Análisis de Información de Entrada en la</w:t>
            </w:r>
            <w:r>
              <w:rPr>
                <w:rFonts w:ascii="Arial" w:hAnsi="Arial" w:cs="Arial"/>
              </w:rPr>
              <w:t xml:space="preserve"> </w:t>
            </w:r>
            <w:r w:rsidRPr="003D427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evisión por la d</w:t>
            </w:r>
            <w:r w:rsidRPr="003D4271">
              <w:rPr>
                <w:rFonts w:ascii="Arial" w:hAnsi="Arial" w:cs="Arial"/>
              </w:rPr>
              <w:t>irección (Comportamiento de indicadores, hallazgos de auditorías internas, estado de las acciones correctivas, acciones preventivas, planes de mejoramiento, entre otros).</w:t>
            </w:r>
            <w:r>
              <w:rPr>
                <w:rFonts w:ascii="Arial" w:hAnsi="Arial" w:cs="Arial"/>
              </w:rPr>
              <w:t xml:space="preserve"> </w:t>
            </w:r>
          </w:p>
          <w:p w:rsidR="00B9277B" w:rsidRPr="003D4271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 w:rsidRPr="003D4271">
              <w:rPr>
                <w:rFonts w:ascii="Arial" w:hAnsi="Arial" w:cs="Arial"/>
              </w:rPr>
              <w:t>Resultados de Auditoria Interna y de autoevaluación del sistema de control interno</w:t>
            </w:r>
            <w:r>
              <w:rPr>
                <w:rFonts w:ascii="Arial" w:hAnsi="Arial" w:cs="Arial"/>
              </w:rPr>
              <w:t>.</w:t>
            </w: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</w:p>
          <w:p w:rsidR="00B9277B" w:rsidRDefault="00B9277B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la Auditoría General de la República.</w:t>
            </w:r>
          </w:p>
          <w:p w:rsidR="00B9277B" w:rsidRPr="003D4271" w:rsidRDefault="00B9277B" w:rsidP="00FD35A7">
            <w:pPr>
              <w:jc w:val="both"/>
              <w:rPr>
                <w:rFonts w:ascii="Arial" w:hAnsi="Arial" w:cs="Arial"/>
              </w:rPr>
            </w:pPr>
          </w:p>
        </w:tc>
      </w:tr>
      <w:tr w:rsidR="00B9277B" w:rsidRPr="003D4271" w:rsidTr="00FD35A7">
        <w:trPr>
          <w:trHeight w:val="620"/>
        </w:trPr>
        <w:tc>
          <w:tcPr>
            <w:tcW w:w="1617" w:type="pct"/>
            <w:gridSpan w:val="2"/>
            <w:shd w:val="clear" w:color="auto" w:fill="000099"/>
            <w:vAlign w:val="center"/>
          </w:tcPr>
          <w:p w:rsidR="00B9277B" w:rsidRPr="001C6299" w:rsidRDefault="00B9277B" w:rsidP="00FD35A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FORMATOS</w:t>
            </w:r>
          </w:p>
        </w:tc>
        <w:tc>
          <w:tcPr>
            <w:tcW w:w="3383" w:type="pct"/>
            <w:gridSpan w:val="3"/>
            <w:shd w:val="clear" w:color="auto" w:fill="000099"/>
            <w:vAlign w:val="center"/>
          </w:tcPr>
          <w:p w:rsidR="00B9277B" w:rsidRPr="001C6299" w:rsidRDefault="00B9277B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</w:rPr>
              <w:t>INDICADORES</w:t>
            </w:r>
          </w:p>
        </w:tc>
      </w:tr>
      <w:tr w:rsidR="00B9277B" w:rsidRPr="003D4271" w:rsidTr="00FD35A7">
        <w:trPr>
          <w:trHeight w:val="452"/>
        </w:trPr>
        <w:tc>
          <w:tcPr>
            <w:tcW w:w="1617" w:type="pct"/>
            <w:gridSpan w:val="2"/>
          </w:tcPr>
          <w:p w:rsidR="00B9277B" w:rsidRDefault="00893DA0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FOGF-01 Solicitud de disponibilidad P.</w:t>
            </w:r>
          </w:p>
          <w:p w:rsidR="00893DA0" w:rsidRDefault="00893DA0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FOGF-02 Legalización de viáticos</w:t>
            </w:r>
          </w:p>
          <w:p w:rsidR="00893DA0" w:rsidRDefault="00893DA0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FOGF-03 Solicitud orden de transferencia</w:t>
            </w:r>
          </w:p>
          <w:p w:rsidR="00893DA0" w:rsidRDefault="00893DA0" w:rsidP="00893DA0">
            <w:pPr>
              <w:ind w:left="1021" w:hanging="10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FOGF-04 Verificación de requisitos para primer pago</w:t>
            </w:r>
            <w:bookmarkStart w:id="0" w:name="_GoBack"/>
            <w:bookmarkEnd w:id="0"/>
          </w:p>
          <w:p w:rsidR="00893DA0" w:rsidRDefault="00893DA0" w:rsidP="00893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FOGF-05 Verificación requisitos pago final </w:t>
            </w:r>
          </w:p>
        </w:tc>
        <w:tc>
          <w:tcPr>
            <w:tcW w:w="3383" w:type="pct"/>
            <w:gridSpan w:val="3"/>
          </w:tcPr>
          <w:p w:rsidR="00B9277B" w:rsidRPr="003D4271" w:rsidRDefault="00B9277B" w:rsidP="00FD35A7">
            <w:pPr>
              <w:jc w:val="both"/>
              <w:rPr>
                <w:rFonts w:ascii="Arial" w:hAnsi="Arial" w:cs="Arial"/>
              </w:rPr>
            </w:pPr>
            <w:r w:rsidRPr="00A33EED">
              <w:rPr>
                <w:rFonts w:ascii="Arial" w:hAnsi="Arial" w:cs="Arial"/>
              </w:rPr>
              <w:lastRenderedPageBreak/>
              <w:t>Ver cuadros de control del proceso.</w:t>
            </w:r>
          </w:p>
        </w:tc>
      </w:tr>
      <w:tr w:rsidR="00B9277B" w:rsidRPr="007F7F75" w:rsidTr="00FD35A7">
        <w:trPr>
          <w:trHeight w:val="620"/>
        </w:trPr>
        <w:tc>
          <w:tcPr>
            <w:tcW w:w="1617" w:type="pct"/>
            <w:gridSpan w:val="2"/>
            <w:shd w:val="clear" w:color="auto" w:fill="000099"/>
            <w:vAlign w:val="center"/>
          </w:tcPr>
          <w:p w:rsidR="00B9277B" w:rsidRDefault="00B9277B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NORMATIVIDAD Y REQUISITOS</w:t>
            </w:r>
          </w:p>
        </w:tc>
        <w:tc>
          <w:tcPr>
            <w:tcW w:w="3383" w:type="pct"/>
            <w:gridSpan w:val="3"/>
            <w:shd w:val="clear" w:color="auto" w:fill="FFFFFF" w:themeFill="background1"/>
          </w:tcPr>
          <w:p w:rsidR="00B9277B" w:rsidRPr="002F52C0" w:rsidRDefault="00B9277B" w:rsidP="00FD35A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 w:rsidRPr="002F52C0">
              <w:rPr>
                <w:rFonts w:ascii="Arial" w:hAnsi="Arial" w:cs="Arial"/>
              </w:rPr>
              <w:t xml:space="preserve">Constitución Política de Colombia de 1991, Ley 42 de </w:t>
            </w:r>
            <w:r w:rsidRPr="002F52C0">
              <w:rPr>
                <w:rFonts w:ascii="Arial" w:hAnsi="Arial" w:cs="Arial"/>
                <w:shd w:val="clear" w:color="auto" w:fill="FFFFFF" w:themeFill="background1"/>
              </w:rPr>
              <w:t xml:space="preserve">1993, Ley 1474 de </w:t>
            </w:r>
            <w:r w:rsidR="002F52C0" w:rsidRPr="002F52C0">
              <w:rPr>
                <w:rFonts w:ascii="Arial" w:hAnsi="Arial" w:cs="Arial"/>
                <w:shd w:val="clear" w:color="auto" w:fill="FFFFFF" w:themeFill="background1"/>
              </w:rPr>
              <w:t xml:space="preserve">2011, </w:t>
            </w:r>
            <w:r w:rsidR="002F52C0" w:rsidRPr="002F52C0">
              <w:rPr>
                <w:rFonts w:ascii="Arial" w:hAnsi="Arial" w:cs="Arial"/>
              </w:rPr>
              <w:t xml:space="preserve">Estatuto Tributario, Decreto 694 de 1989, Decreto 1068 de 2015, Ley 863 de 2003, Decreto 4660 de 2007, Ley 1314 de 2009, </w:t>
            </w:r>
            <w:r w:rsidR="002F52C0" w:rsidRPr="002F52C0">
              <w:rPr>
                <w:rFonts w:ascii="Arial" w:hAnsi="Arial" w:cs="Arial"/>
                <w:bCs/>
                <w:color w:val="000000"/>
                <w:shd w:val="clear" w:color="auto" w:fill="FFFFFF"/>
              </w:rPr>
              <w:t>Decreto 2649 de 1993, Decreto 1851 de 2013, Ley 617 de 2000, Ley 7</w:t>
            </w:r>
            <w:r w:rsidR="002F52C0">
              <w:rPr>
                <w:rFonts w:ascii="Arial" w:hAnsi="Arial" w:cs="Arial"/>
                <w:bCs/>
                <w:color w:val="000000"/>
                <w:shd w:val="clear" w:color="auto" w:fill="FFFFFF"/>
              </w:rPr>
              <w:t>16 de 2001, Decreto 11 de 1996.</w:t>
            </w:r>
          </w:p>
        </w:tc>
      </w:tr>
      <w:tr w:rsidR="00B9277B" w:rsidRPr="00A42B87" w:rsidTr="00FD35A7">
        <w:trPr>
          <w:trHeight w:val="620"/>
        </w:trPr>
        <w:tc>
          <w:tcPr>
            <w:tcW w:w="1617" w:type="pct"/>
            <w:gridSpan w:val="2"/>
            <w:shd w:val="clear" w:color="auto" w:fill="000099"/>
          </w:tcPr>
          <w:p w:rsidR="00B9277B" w:rsidRDefault="00B9277B" w:rsidP="00FD35A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DOCUMENTOS SOPORTES</w:t>
            </w:r>
          </w:p>
        </w:tc>
        <w:tc>
          <w:tcPr>
            <w:tcW w:w="3383" w:type="pct"/>
            <w:gridSpan w:val="3"/>
            <w:shd w:val="clear" w:color="auto" w:fill="FFFFFF" w:themeFill="background1"/>
          </w:tcPr>
          <w:p w:rsidR="00B9277B" w:rsidRDefault="002F52C0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Estatuto Tributario</w:t>
            </w:r>
          </w:p>
          <w:p w:rsidR="002F52C0" w:rsidRDefault="002F52C0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</w:t>
            </w:r>
          </w:p>
          <w:p w:rsidR="002F52C0" w:rsidRPr="00A42B87" w:rsidRDefault="002F52C0" w:rsidP="00FD35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de gestión financiera</w:t>
            </w:r>
          </w:p>
        </w:tc>
      </w:tr>
      <w:tr w:rsidR="00FD35A7" w:rsidRPr="00A42B87" w:rsidTr="00FD35A7">
        <w:trPr>
          <w:trHeight w:val="620"/>
        </w:trPr>
        <w:tc>
          <w:tcPr>
            <w:tcW w:w="5000" w:type="pct"/>
            <w:gridSpan w:val="5"/>
            <w:shd w:val="clear" w:color="auto" w:fill="auto"/>
          </w:tcPr>
          <w:p w:rsidR="00FD35A7" w:rsidRDefault="00FD35A7" w:rsidP="00FD35A7">
            <w:pPr>
              <w:jc w:val="center"/>
              <w:rPr>
                <w:rFonts w:ascii="Arial" w:hAnsi="Arial" w:cs="Arial"/>
                <w:b/>
              </w:rPr>
            </w:pPr>
          </w:p>
          <w:p w:rsidR="00FD35A7" w:rsidRPr="00FD35A7" w:rsidRDefault="00FD35A7" w:rsidP="00FD35A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4B13" w:rsidRDefault="002B5A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tbl>
      <w:tblPr>
        <w:tblStyle w:val="Tablaconcuadrcula"/>
        <w:tblW w:w="13608" w:type="dxa"/>
        <w:tblInd w:w="562" w:type="dxa"/>
        <w:tblLook w:val="04A0" w:firstRow="1" w:lastRow="0" w:firstColumn="1" w:lastColumn="0" w:noHBand="0" w:noVBand="1"/>
      </w:tblPr>
      <w:tblGrid>
        <w:gridCol w:w="1796"/>
        <w:gridCol w:w="2620"/>
        <w:gridCol w:w="9192"/>
      </w:tblGrid>
      <w:tr w:rsidR="001C6299" w:rsidTr="00FD35A7">
        <w:trPr>
          <w:trHeight w:val="336"/>
        </w:trPr>
        <w:tc>
          <w:tcPr>
            <w:tcW w:w="13608" w:type="dxa"/>
            <w:gridSpan w:val="3"/>
            <w:shd w:val="clear" w:color="auto" w:fill="003399"/>
          </w:tcPr>
          <w:p w:rsidR="001C6299" w:rsidRPr="001C6299" w:rsidRDefault="001C6299" w:rsidP="00FD35A7">
            <w:pPr>
              <w:ind w:left="45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C629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CONTROL DE CAMBIOS</w:t>
            </w:r>
          </w:p>
        </w:tc>
      </w:tr>
      <w:tr w:rsidR="00FD35A7" w:rsidTr="00FD35A7">
        <w:trPr>
          <w:trHeight w:val="256"/>
        </w:trPr>
        <w:tc>
          <w:tcPr>
            <w:tcW w:w="13608" w:type="dxa"/>
            <w:gridSpan w:val="3"/>
            <w:shd w:val="clear" w:color="auto" w:fill="002060"/>
          </w:tcPr>
          <w:p w:rsidR="00FD35A7" w:rsidRPr="00FD35A7" w:rsidRDefault="00FD35A7" w:rsidP="008F63C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CONTROL DE CAMBIOS</w:t>
            </w:r>
          </w:p>
        </w:tc>
      </w:tr>
      <w:tr w:rsidR="00FD35A7" w:rsidTr="00FD35A7">
        <w:trPr>
          <w:trHeight w:val="256"/>
        </w:trPr>
        <w:tc>
          <w:tcPr>
            <w:tcW w:w="1796" w:type="dxa"/>
            <w:shd w:val="clear" w:color="auto" w:fill="F2F2F2" w:themeFill="background1" w:themeFillShade="F2"/>
          </w:tcPr>
          <w:p w:rsidR="00FD35A7" w:rsidRDefault="00FD35A7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Versión</w:t>
            </w:r>
          </w:p>
        </w:tc>
        <w:tc>
          <w:tcPr>
            <w:tcW w:w="2620" w:type="dxa"/>
            <w:shd w:val="clear" w:color="auto" w:fill="F2F2F2" w:themeFill="background1" w:themeFillShade="F2"/>
          </w:tcPr>
          <w:p w:rsidR="00FD35A7" w:rsidRDefault="00FD35A7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9192" w:type="dxa"/>
            <w:shd w:val="clear" w:color="auto" w:fill="F2F2F2" w:themeFill="background1" w:themeFillShade="F2"/>
          </w:tcPr>
          <w:p w:rsidR="00FD35A7" w:rsidRDefault="00FD35A7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cambio</w:t>
            </w:r>
          </w:p>
        </w:tc>
      </w:tr>
      <w:tr w:rsidR="00FD35A7" w:rsidTr="00FD35A7">
        <w:trPr>
          <w:trHeight w:val="256"/>
        </w:trPr>
        <w:tc>
          <w:tcPr>
            <w:tcW w:w="1796" w:type="dxa"/>
          </w:tcPr>
          <w:p w:rsidR="00FD35A7" w:rsidRDefault="00FD35A7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2620" w:type="dxa"/>
          </w:tcPr>
          <w:p w:rsidR="00FD35A7" w:rsidRDefault="00FD35A7" w:rsidP="00FD3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23/02/2018</w:t>
            </w:r>
          </w:p>
        </w:tc>
        <w:tc>
          <w:tcPr>
            <w:tcW w:w="9192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documento</w:t>
            </w:r>
          </w:p>
        </w:tc>
      </w:tr>
      <w:tr w:rsidR="00FD35A7" w:rsidTr="00FD35A7">
        <w:trPr>
          <w:trHeight w:val="256"/>
        </w:trPr>
        <w:tc>
          <w:tcPr>
            <w:tcW w:w="1796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9192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</w:tr>
      <w:tr w:rsidR="00FD35A7" w:rsidTr="00FD35A7">
        <w:trPr>
          <w:trHeight w:val="256"/>
        </w:trPr>
        <w:tc>
          <w:tcPr>
            <w:tcW w:w="1796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9192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</w:tr>
      <w:tr w:rsidR="00FD35A7" w:rsidTr="00FD35A7">
        <w:trPr>
          <w:trHeight w:val="256"/>
        </w:trPr>
        <w:tc>
          <w:tcPr>
            <w:tcW w:w="1796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9192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</w:tr>
      <w:tr w:rsidR="00FD35A7" w:rsidTr="00FD35A7">
        <w:trPr>
          <w:trHeight w:val="256"/>
        </w:trPr>
        <w:tc>
          <w:tcPr>
            <w:tcW w:w="1796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  <w:tc>
          <w:tcPr>
            <w:tcW w:w="9192" w:type="dxa"/>
          </w:tcPr>
          <w:p w:rsidR="00FD35A7" w:rsidRDefault="00FD35A7" w:rsidP="00FD35A7">
            <w:pPr>
              <w:rPr>
                <w:rFonts w:ascii="Arial" w:hAnsi="Arial" w:cs="Arial"/>
              </w:rPr>
            </w:pPr>
          </w:p>
        </w:tc>
      </w:tr>
    </w:tbl>
    <w:p w:rsidR="00E96634" w:rsidRPr="003D4271" w:rsidRDefault="00E96634">
      <w:pPr>
        <w:rPr>
          <w:rFonts w:ascii="Arial" w:hAnsi="Arial" w:cs="Arial"/>
        </w:rPr>
      </w:pPr>
    </w:p>
    <w:sectPr w:rsidR="00E96634" w:rsidRPr="003D4271" w:rsidSect="00A374AF">
      <w:head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61" w:rsidRDefault="00F13A61" w:rsidP="009D7AE6">
      <w:pPr>
        <w:spacing w:after="0" w:line="240" w:lineRule="auto"/>
      </w:pPr>
      <w:r>
        <w:separator/>
      </w:r>
    </w:p>
  </w:endnote>
  <w:endnote w:type="continuationSeparator" w:id="0">
    <w:p w:rsidR="00F13A61" w:rsidRDefault="00F13A61" w:rsidP="009D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61" w:rsidRDefault="00F13A61" w:rsidP="009D7AE6">
      <w:pPr>
        <w:spacing w:after="0" w:line="240" w:lineRule="auto"/>
      </w:pPr>
      <w:r>
        <w:separator/>
      </w:r>
    </w:p>
  </w:footnote>
  <w:footnote w:type="continuationSeparator" w:id="0">
    <w:p w:rsidR="00F13A61" w:rsidRDefault="00F13A61" w:rsidP="009D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B13" w:rsidRDefault="00944B13" w:rsidP="00944B13">
    <w:pPr>
      <w:pStyle w:val="Encabezado"/>
      <w:tabs>
        <w:tab w:val="clear" w:pos="4252"/>
        <w:tab w:val="clear" w:pos="8504"/>
        <w:tab w:val="left" w:pos="3075"/>
      </w:tabs>
    </w:pPr>
    <w:r>
      <w:tab/>
    </w:r>
  </w:p>
  <w:tbl>
    <w:tblPr>
      <w:tblpPr w:leftFromText="141" w:rightFromText="141" w:vertAnchor="text" w:horzAnchor="margin" w:tblpX="562" w:tblpY="-159"/>
      <w:tblOverlap w:val="never"/>
      <w:tblW w:w="136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4"/>
      <w:gridCol w:w="6578"/>
      <w:gridCol w:w="3911"/>
    </w:tblGrid>
    <w:tr w:rsidR="00944B13" w:rsidRPr="007151D5" w:rsidTr="00FD35A7">
      <w:trPr>
        <w:cantSplit/>
        <w:trHeight w:val="416"/>
      </w:trPr>
      <w:tc>
        <w:tcPr>
          <w:tcW w:w="3114" w:type="dxa"/>
          <w:vMerge w:val="restart"/>
        </w:tcPr>
        <w:p w:rsidR="00944B13" w:rsidRDefault="00B4159E" w:rsidP="00FD35A7"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76200</wp:posOffset>
                </wp:positionV>
                <wp:extent cx="1181100" cy="685800"/>
                <wp:effectExtent l="0" t="0" r="0" b="0"/>
                <wp:wrapNone/>
                <wp:docPr id="4" name="Imagen 3" descr="Resultado de imagen para contraloría del magdale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Resultado de imagen para contraloría del magdalen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8" w:type="dxa"/>
          <w:vMerge w:val="restart"/>
        </w:tcPr>
        <w:p w:rsidR="00944B13" w:rsidRDefault="00944B13" w:rsidP="00FD35A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:rsidR="00944B13" w:rsidRPr="00944B13" w:rsidRDefault="00944B13" w:rsidP="00FD35A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>CARACTERIZACION DE PROCESOS</w:t>
          </w:r>
        </w:p>
        <w:p w:rsidR="00944B13" w:rsidRDefault="00A33EED" w:rsidP="00FD35A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FINANCIERA</w:t>
          </w:r>
        </w:p>
        <w:p w:rsidR="00944B13" w:rsidRPr="00944B13" w:rsidRDefault="00944B13" w:rsidP="00FD35A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911" w:type="dxa"/>
          <w:vAlign w:val="center"/>
        </w:tcPr>
        <w:p w:rsidR="00944B13" w:rsidRPr="00944B13" w:rsidRDefault="00944B13" w:rsidP="00FD35A7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>Código: CA</w:t>
          </w:r>
          <w:r w:rsidR="00A33EED">
            <w:rPr>
              <w:rFonts w:ascii="Arial" w:hAnsi="Arial" w:cs="Arial"/>
              <w:sz w:val="24"/>
              <w:szCs w:val="24"/>
            </w:rPr>
            <w:t>GF</w:t>
          </w:r>
        </w:p>
      </w:tc>
    </w:tr>
    <w:tr w:rsidR="00944B13" w:rsidRPr="007151D5" w:rsidTr="00FD35A7">
      <w:trPr>
        <w:cantSplit/>
        <w:trHeight w:val="422"/>
      </w:trPr>
      <w:tc>
        <w:tcPr>
          <w:tcW w:w="3114" w:type="dxa"/>
          <w:vMerge/>
        </w:tcPr>
        <w:p w:rsidR="00944B13" w:rsidRDefault="00944B13" w:rsidP="00FD35A7"/>
      </w:tc>
      <w:tc>
        <w:tcPr>
          <w:tcW w:w="6578" w:type="dxa"/>
          <w:vMerge/>
        </w:tcPr>
        <w:p w:rsidR="00944B13" w:rsidRPr="00944B13" w:rsidRDefault="00944B13" w:rsidP="00FD35A7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911" w:type="dxa"/>
          <w:vAlign w:val="center"/>
        </w:tcPr>
        <w:p w:rsidR="00944B13" w:rsidRPr="00944B13" w:rsidRDefault="00944B13" w:rsidP="00FD35A7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 xml:space="preserve">Versión: </w:t>
          </w:r>
          <w:r w:rsidR="007F7F75">
            <w:rPr>
              <w:rFonts w:ascii="Arial" w:hAnsi="Arial" w:cs="Arial"/>
              <w:sz w:val="24"/>
              <w:szCs w:val="24"/>
            </w:rPr>
            <w:t>1</w:t>
          </w:r>
          <w:r w:rsidR="00B4159E">
            <w:rPr>
              <w:rFonts w:ascii="Arial" w:hAnsi="Arial" w:cs="Arial"/>
              <w:sz w:val="24"/>
              <w:szCs w:val="24"/>
            </w:rPr>
            <w:t>.0</w:t>
          </w:r>
        </w:p>
      </w:tc>
    </w:tr>
    <w:tr w:rsidR="00944B13" w:rsidRPr="007151D5" w:rsidTr="00FD35A7">
      <w:trPr>
        <w:cantSplit/>
        <w:trHeight w:val="413"/>
      </w:trPr>
      <w:tc>
        <w:tcPr>
          <w:tcW w:w="3114" w:type="dxa"/>
          <w:vMerge/>
        </w:tcPr>
        <w:p w:rsidR="00944B13" w:rsidRDefault="00944B13" w:rsidP="00FD35A7"/>
      </w:tc>
      <w:tc>
        <w:tcPr>
          <w:tcW w:w="6578" w:type="dxa"/>
          <w:vMerge/>
        </w:tcPr>
        <w:p w:rsidR="00944B13" w:rsidRPr="00944B13" w:rsidRDefault="00944B13" w:rsidP="00FD35A7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911" w:type="dxa"/>
          <w:vAlign w:val="center"/>
        </w:tcPr>
        <w:p w:rsidR="00944B13" w:rsidRPr="00944B13" w:rsidRDefault="00944B13" w:rsidP="00FD35A7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4B13">
            <w:rPr>
              <w:rFonts w:ascii="Arial" w:hAnsi="Arial" w:cs="Arial"/>
              <w:sz w:val="24"/>
              <w:szCs w:val="24"/>
            </w:rPr>
            <w:t xml:space="preserve">Fecha </w:t>
          </w:r>
          <w:r w:rsidR="00FD35A7">
            <w:rPr>
              <w:rFonts w:ascii="Arial" w:hAnsi="Arial" w:cs="Arial"/>
              <w:sz w:val="24"/>
              <w:szCs w:val="24"/>
            </w:rPr>
            <w:t>de a</w:t>
          </w:r>
          <w:r w:rsidRPr="00944B13">
            <w:rPr>
              <w:rFonts w:ascii="Arial" w:hAnsi="Arial" w:cs="Arial"/>
              <w:sz w:val="24"/>
              <w:szCs w:val="24"/>
            </w:rPr>
            <w:t>probación</w:t>
          </w:r>
          <w:r>
            <w:rPr>
              <w:rFonts w:ascii="Arial" w:hAnsi="Arial" w:cs="Arial"/>
              <w:sz w:val="24"/>
              <w:szCs w:val="24"/>
            </w:rPr>
            <w:t>:</w:t>
          </w:r>
          <w:r w:rsidR="00FD35A7">
            <w:rPr>
              <w:rFonts w:ascii="Arial" w:hAnsi="Arial" w:cs="Arial"/>
              <w:sz w:val="24"/>
              <w:szCs w:val="24"/>
            </w:rPr>
            <w:t xml:space="preserve"> 23/02/2018</w:t>
          </w:r>
        </w:p>
      </w:tc>
    </w:tr>
  </w:tbl>
  <w:p w:rsidR="009D7AE6" w:rsidRDefault="009D7AE6" w:rsidP="00944B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87A75"/>
    <w:multiLevelType w:val="hybridMultilevel"/>
    <w:tmpl w:val="379A8F7A"/>
    <w:lvl w:ilvl="0" w:tplc="06BEF7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C"/>
    <w:rsid w:val="000121FB"/>
    <w:rsid w:val="00034AB7"/>
    <w:rsid w:val="00040263"/>
    <w:rsid w:val="0007417A"/>
    <w:rsid w:val="000A15E5"/>
    <w:rsid w:val="000A2BE4"/>
    <w:rsid w:val="000D0DC7"/>
    <w:rsid w:val="000D709A"/>
    <w:rsid w:val="000F55DF"/>
    <w:rsid w:val="000F7F0B"/>
    <w:rsid w:val="0010614C"/>
    <w:rsid w:val="00113028"/>
    <w:rsid w:val="00114A08"/>
    <w:rsid w:val="00134927"/>
    <w:rsid w:val="001515B6"/>
    <w:rsid w:val="001523ED"/>
    <w:rsid w:val="00157F26"/>
    <w:rsid w:val="00173DA2"/>
    <w:rsid w:val="00191756"/>
    <w:rsid w:val="001C4836"/>
    <w:rsid w:val="001C6299"/>
    <w:rsid w:val="001F45AF"/>
    <w:rsid w:val="00231791"/>
    <w:rsid w:val="00240F51"/>
    <w:rsid w:val="002505B3"/>
    <w:rsid w:val="00263F8A"/>
    <w:rsid w:val="0027284B"/>
    <w:rsid w:val="00291E69"/>
    <w:rsid w:val="002B5A40"/>
    <w:rsid w:val="002D6372"/>
    <w:rsid w:val="002F52C0"/>
    <w:rsid w:val="00302461"/>
    <w:rsid w:val="00306CB3"/>
    <w:rsid w:val="003106D1"/>
    <w:rsid w:val="00331D0C"/>
    <w:rsid w:val="003334D2"/>
    <w:rsid w:val="0033451F"/>
    <w:rsid w:val="003432CB"/>
    <w:rsid w:val="0034580E"/>
    <w:rsid w:val="0034631A"/>
    <w:rsid w:val="003629CC"/>
    <w:rsid w:val="003A4642"/>
    <w:rsid w:val="003B7E6C"/>
    <w:rsid w:val="003D2EA4"/>
    <w:rsid w:val="003D4271"/>
    <w:rsid w:val="003D6A5B"/>
    <w:rsid w:val="004065D1"/>
    <w:rsid w:val="00416E3F"/>
    <w:rsid w:val="004477C6"/>
    <w:rsid w:val="004E174D"/>
    <w:rsid w:val="004E17F7"/>
    <w:rsid w:val="004E7199"/>
    <w:rsid w:val="004F7C1A"/>
    <w:rsid w:val="00526820"/>
    <w:rsid w:val="0055725B"/>
    <w:rsid w:val="005720C3"/>
    <w:rsid w:val="00582650"/>
    <w:rsid w:val="00590056"/>
    <w:rsid w:val="005A3688"/>
    <w:rsid w:val="005B5B98"/>
    <w:rsid w:val="005E03EF"/>
    <w:rsid w:val="005E78C4"/>
    <w:rsid w:val="00602757"/>
    <w:rsid w:val="00610157"/>
    <w:rsid w:val="00620569"/>
    <w:rsid w:val="00671864"/>
    <w:rsid w:val="00685110"/>
    <w:rsid w:val="00692652"/>
    <w:rsid w:val="006B7F7E"/>
    <w:rsid w:val="006C705C"/>
    <w:rsid w:val="006F302B"/>
    <w:rsid w:val="00704F17"/>
    <w:rsid w:val="00746C7E"/>
    <w:rsid w:val="007805FE"/>
    <w:rsid w:val="00782543"/>
    <w:rsid w:val="00784789"/>
    <w:rsid w:val="007B7330"/>
    <w:rsid w:val="007E59D2"/>
    <w:rsid w:val="007F7F75"/>
    <w:rsid w:val="008046C5"/>
    <w:rsid w:val="00815D8D"/>
    <w:rsid w:val="00825D2E"/>
    <w:rsid w:val="008336AC"/>
    <w:rsid w:val="008805C1"/>
    <w:rsid w:val="00891B1A"/>
    <w:rsid w:val="00893DA0"/>
    <w:rsid w:val="008974A0"/>
    <w:rsid w:val="008C67A3"/>
    <w:rsid w:val="008D2A22"/>
    <w:rsid w:val="008E3757"/>
    <w:rsid w:val="008F7549"/>
    <w:rsid w:val="009107E0"/>
    <w:rsid w:val="0091237B"/>
    <w:rsid w:val="00912990"/>
    <w:rsid w:val="00933C8E"/>
    <w:rsid w:val="00935CCB"/>
    <w:rsid w:val="009423A8"/>
    <w:rsid w:val="00944B13"/>
    <w:rsid w:val="00963F58"/>
    <w:rsid w:val="0096466E"/>
    <w:rsid w:val="0096504D"/>
    <w:rsid w:val="00974ADD"/>
    <w:rsid w:val="009811CF"/>
    <w:rsid w:val="00984785"/>
    <w:rsid w:val="009972B0"/>
    <w:rsid w:val="009A378A"/>
    <w:rsid w:val="009B5A3E"/>
    <w:rsid w:val="009D44E3"/>
    <w:rsid w:val="009D502C"/>
    <w:rsid w:val="009D7AE6"/>
    <w:rsid w:val="009E5ED8"/>
    <w:rsid w:val="00A01B71"/>
    <w:rsid w:val="00A02197"/>
    <w:rsid w:val="00A16679"/>
    <w:rsid w:val="00A33EED"/>
    <w:rsid w:val="00A35DBD"/>
    <w:rsid w:val="00A374AF"/>
    <w:rsid w:val="00A5021B"/>
    <w:rsid w:val="00A619FF"/>
    <w:rsid w:val="00A61D7F"/>
    <w:rsid w:val="00A752AE"/>
    <w:rsid w:val="00A974F4"/>
    <w:rsid w:val="00AA6138"/>
    <w:rsid w:val="00AC319C"/>
    <w:rsid w:val="00B1392E"/>
    <w:rsid w:val="00B22189"/>
    <w:rsid w:val="00B40C91"/>
    <w:rsid w:val="00B4159E"/>
    <w:rsid w:val="00B46B53"/>
    <w:rsid w:val="00B46D25"/>
    <w:rsid w:val="00B515D5"/>
    <w:rsid w:val="00B5732A"/>
    <w:rsid w:val="00B66246"/>
    <w:rsid w:val="00B7042A"/>
    <w:rsid w:val="00B7668C"/>
    <w:rsid w:val="00B76B53"/>
    <w:rsid w:val="00B77603"/>
    <w:rsid w:val="00B80F8E"/>
    <w:rsid w:val="00B80FDE"/>
    <w:rsid w:val="00B9277B"/>
    <w:rsid w:val="00B97BE4"/>
    <w:rsid w:val="00BA248C"/>
    <w:rsid w:val="00BA51A6"/>
    <w:rsid w:val="00BB5064"/>
    <w:rsid w:val="00BC21E4"/>
    <w:rsid w:val="00BE7210"/>
    <w:rsid w:val="00BE76AD"/>
    <w:rsid w:val="00C06DFC"/>
    <w:rsid w:val="00C14C53"/>
    <w:rsid w:val="00C22E25"/>
    <w:rsid w:val="00C33920"/>
    <w:rsid w:val="00C560EA"/>
    <w:rsid w:val="00C63E36"/>
    <w:rsid w:val="00C6618C"/>
    <w:rsid w:val="00C81B83"/>
    <w:rsid w:val="00CA21F4"/>
    <w:rsid w:val="00CC33F9"/>
    <w:rsid w:val="00CD551B"/>
    <w:rsid w:val="00CE0B38"/>
    <w:rsid w:val="00CE665D"/>
    <w:rsid w:val="00CE7697"/>
    <w:rsid w:val="00D07E44"/>
    <w:rsid w:val="00D07FB9"/>
    <w:rsid w:val="00D40165"/>
    <w:rsid w:val="00D63E86"/>
    <w:rsid w:val="00D738E4"/>
    <w:rsid w:val="00D82B23"/>
    <w:rsid w:val="00D86D4C"/>
    <w:rsid w:val="00D91DF8"/>
    <w:rsid w:val="00DC5A87"/>
    <w:rsid w:val="00DE024B"/>
    <w:rsid w:val="00DE5441"/>
    <w:rsid w:val="00DE7C5E"/>
    <w:rsid w:val="00E20FA2"/>
    <w:rsid w:val="00E30B10"/>
    <w:rsid w:val="00E43572"/>
    <w:rsid w:val="00E6036C"/>
    <w:rsid w:val="00E623B3"/>
    <w:rsid w:val="00E875AE"/>
    <w:rsid w:val="00E96634"/>
    <w:rsid w:val="00EB5C08"/>
    <w:rsid w:val="00EC3C16"/>
    <w:rsid w:val="00ED19F4"/>
    <w:rsid w:val="00F13A61"/>
    <w:rsid w:val="00F325DD"/>
    <w:rsid w:val="00F92815"/>
    <w:rsid w:val="00FB3653"/>
    <w:rsid w:val="00FB4A99"/>
    <w:rsid w:val="00FC0EFF"/>
    <w:rsid w:val="00FC52F1"/>
    <w:rsid w:val="00FD35A7"/>
    <w:rsid w:val="00FD58C5"/>
    <w:rsid w:val="00FE60FA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E27F26-2A86-4B61-BE42-2966999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27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E6"/>
  </w:style>
  <w:style w:type="paragraph" w:styleId="Piedepgina">
    <w:name w:val="footer"/>
    <w:basedOn w:val="Normal"/>
    <w:link w:val="PiedepginaCar"/>
    <w:uiPriority w:val="99"/>
    <w:unhideWhenUsed/>
    <w:rsid w:val="009D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E6"/>
  </w:style>
  <w:style w:type="paragraph" w:styleId="Sinespaciado">
    <w:name w:val="No Spacing"/>
    <w:uiPriority w:val="1"/>
    <w:qFormat/>
    <w:rsid w:val="00A374AF"/>
    <w:pPr>
      <w:spacing w:after="0" w:line="240" w:lineRule="auto"/>
    </w:pPr>
    <w:rPr>
      <w:lang w:val="es-CO"/>
    </w:rPr>
  </w:style>
  <w:style w:type="paragraph" w:customStyle="1" w:styleId="Default">
    <w:name w:val="Default"/>
    <w:rsid w:val="000F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AEDB-9CE8-4E11-8ED0-80798A4A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jctorres</dc:creator>
  <cp:lastModifiedBy>Edgardo Santiago</cp:lastModifiedBy>
  <cp:revision>14</cp:revision>
  <dcterms:created xsi:type="dcterms:W3CDTF">2018-01-14T21:18:00Z</dcterms:created>
  <dcterms:modified xsi:type="dcterms:W3CDTF">2018-11-20T00:37:00Z</dcterms:modified>
</cp:coreProperties>
</file>